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(відповідно до пункту 4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ru-RU"/>
        </w:rPr>
        <w:t>1 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постанови КМУ від 11.10.2016 № 710 «Про ефективне використання державних коштів» (зі змінами)</w:t>
      </w:r>
    </w:p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5"/>
          <w:szCs w:val="25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5"/>
          <w:szCs w:val="25"/>
          <w:lang w:val="uk-UA" w:eastAsia="ru-RU"/>
        </w:rPr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45"/>
        <w:gridCol w:w="7125"/>
      </w:tblGrid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Найменування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Північний міжрегіональний центр з надання безоплатної правничої допомоги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ЄДРПОУ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39776588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Місцезнаходження Замовника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03087, м. Київ, вул. Єреванська, 32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Послуги із технічної охорони об’єктів (Спостереження за засобами охоронної та тривожної сигналізації, їх технічне обслуговування та реагування на тривожні сповіщення нарядів реагування) </w:t>
            </w:r>
            <w:bookmarkStart w:id="0" w:name="_Hlk165624852"/>
            <w:bookmarkStart w:id="1" w:name="_Hlk165308767"/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 xml:space="preserve">за кодом ДК 021:2015 – </w:t>
            </w:r>
            <w:bookmarkEnd w:id="0"/>
            <w:bookmarkEnd w:id="1"/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000000"/>
                <w:sz w:val="26"/>
                <w:szCs w:val="26"/>
              </w:rPr>
              <w:t>79710000-4 Охоронні послуги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</w:rPr>
              <w:t>(Лот №1 Послуги із спостереження за засобами охоронної сигналізації,  технічне обслуговування та реагування на тривожні сповіщення нарядів реагування;</w:t>
            </w:r>
          </w:p>
          <w:p>
            <w:pPr>
              <w:pStyle w:val="Normal"/>
              <w:tabs>
                <w:tab w:val="clear" w:pos="708"/>
                <w:tab w:val="left" w:pos="9071" w:leader="none"/>
              </w:tabs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Лот №2 Послуг із спостереження за засобами  тривожної сигналізації,  технічне обслуговування та реагування на тривожні сповіщення нарядів реагування)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Вид та ідентифікатор закупівлі: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Відкриті торги з особливостями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Arial;Tahoma;Helvetica;Liberation Sans;sans-serif" w:hAnsi="Arial;Tahoma;Helvetica;Liberation Sans;sans-serif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0"/>
                <w:szCs w:val="26"/>
                <w:lang w:val="uk-UA" w:eastAsia="ru-RU"/>
              </w:rPr>
              <w:t>UA-2025-01-23-019327-a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Очікувана вартість закупівлі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en-US" w:eastAsia="ru-RU" w:bidi="ar-SA"/>
              </w:rPr>
              <w:t>52 800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en-US" w:eastAsia="ru-RU"/>
              </w:rPr>
              <w:t>,00 (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п’ятдесят дві тисячі вісімсот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гривень 00 копійок) з ПДВ</w:t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очікуваної вартості закупівлі</w:t>
            </w:r>
          </w:p>
        </w:tc>
        <w:tc>
          <w:tcPr>
            <w:tcW w:w="7125" w:type="dxa"/>
            <w:tcBorders/>
          </w:tcPr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Визначення очікуваної вартості предмета закупівлі здійснювалося з використанням методів і способів, передбачених Примірною методикою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(із змінами) за посиланням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 </w:t>
            </w:r>
            <w:hyperlink r:id="rId2">
              <w:r>
                <w:rPr>
                  <w:rFonts w:eastAsia="Times New Roman" w:cs="Times New Roman" w:ascii="Times New Roman" w:hAnsi="Times New Roman"/>
                  <w:i/>
                  <w:sz w:val="25"/>
                  <w:szCs w:val="25"/>
                  <w:lang w:eastAsia="ru-RU"/>
                </w:rPr>
                <w:t>https</w:t>
              </w:r>
            </w:hyperlink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://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zakon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gov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ua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rada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show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/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v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>0275915-20#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eastAsia="ru-RU"/>
              </w:rPr>
              <w:t>Text.</w:t>
            </w: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  <w:t xml:space="preserve"> 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 xml:space="preserve">Очікувана вартість сформована на підставі 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uk-UA" w:eastAsia="ru-RU" w:bidi="ar-SA"/>
              </w:rPr>
              <w:t>дійснення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 xml:space="preserve"> пошуку, зб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uk-UA" w:eastAsia="ru-RU" w:bidi="ar-SA"/>
              </w:rPr>
              <w:t>ору</w:t>
            </w:r>
            <w:r>
              <w:rPr>
                <w:rFonts w:eastAsia="Times New Roman" w:cs="Times New Roman"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  <w:lang w:val="uk-UA" w:eastAsia="ru-RU"/>
              </w:rPr>
              <w:t xml:space="preserve"> та аналізу загальнодоступної інформації 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</w:rPr>
              <w:t xml:space="preserve"> що міститься в мережі Інтернет у відкритому доступі, в тому числі на сайтах  постачальників відповідної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ru-RU" w:eastAsia="en-US" w:bidi="ar-SA"/>
              </w:rPr>
              <w:t>послуги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</w:rPr>
              <w:t xml:space="preserve">, в електронних каталогах, </w:t>
            </w:r>
            <w:r>
              <w:rPr>
                <w:rFonts w:eastAsia="Calibri" w:cs="" w:ascii="Times New Roman" w:hAnsi="Times New Roman" w:cstheme="minorBidi" w:eastAsiaTheme="minorHAnsi"/>
                <w:b w:val="false"/>
                <w:i/>
                <w:iCs/>
                <w:caps w:val="false"/>
                <w:smallCaps w:val="false"/>
                <w:color w:val="333333"/>
                <w:spacing w:val="0"/>
                <w:kern w:val="0"/>
                <w:sz w:val="26"/>
                <w:szCs w:val="26"/>
                <w:lang w:val="ru-RU" w:eastAsia="en-US" w:bidi="ar-SA"/>
              </w:rPr>
              <w:t xml:space="preserve">та </w:t>
            </w:r>
            <w:r>
              <w:rPr>
                <w:rFonts w:ascii="Times New Roman" w:hAnsi="Times New Roman"/>
                <w:b w:val="false"/>
                <w:i/>
                <w:iCs/>
                <w:caps w:val="false"/>
                <w:smallCaps w:val="false"/>
                <w:color w:val="333333"/>
                <w:spacing w:val="0"/>
                <w:sz w:val="26"/>
                <w:szCs w:val="26"/>
              </w:rPr>
              <w:t xml:space="preserve"> в електронній системі закупівель "Prozorro", </w:t>
            </w:r>
            <w:r>
              <w:rPr>
                <w:rFonts w:eastAsia="Times New Roman" w:cs="Times New Roman" w:ascii="Times New Roman" w:hAnsi="Times New Roman"/>
                <w:i/>
                <w:iCs/>
                <w:sz w:val="26"/>
                <w:szCs w:val="26"/>
                <w:lang w:val="uk-UA" w:eastAsia="ru-RU"/>
              </w:rPr>
              <w:t>враховуючи усі технічні, якісні та кількісні характеристики предмета закупівлі, що зазначені  в службовій записці  від ініціатора закупівлі .</w:t>
            </w:r>
          </w:p>
          <w:p>
            <w:pPr>
              <w:pStyle w:val="ListParagraph"/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i/>
                <w:i/>
                <w:sz w:val="25"/>
                <w:szCs w:val="25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5"/>
                <w:szCs w:val="25"/>
                <w:lang w:val="uk-UA" w:eastAsia="ru-RU"/>
              </w:rPr>
            </w:r>
          </w:p>
        </w:tc>
      </w:tr>
      <w:tr>
        <w:trPr/>
        <w:tc>
          <w:tcPr>
            <w:tcW w:w="24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6"/>
                <w:szCs w:val="26"/>
                <w:lang w:val="uk-UA" w:eastAsia="ru-RU"/>
              </w:rPr>
              <w:t>Обгрунтування технічних та якісних характеристик предмета закупівлі</w:t>
            </w:r>
          </w:p>
        </w:tc>
        <w:tc>
          <w:tcPr>
            <w:tcW w:w="712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Закупівля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Послуги із технічної охорони об’єктів (Спостереження за засобами охоронної та тривожної сигналізації, їх технічне обслуговування та реагування на тривожні сповіщення нарядів реагування)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з даними технічними та якісними характеристиками обгрунтована наявною потребою Замовника з огляду на характеристики визначені у службовій записці  від ініціатора закупівлі від </w:t>
            </w:r>
            <w:r>
              <w:rPr>
                <w:rFonts w:eastAsia="Times New Roman" w:cs="Times New Roman" w:ascii="Times New Roman" w:hAnsi="Times New Roman"/>
                <w:i/>
                <w:color w:val="auto"/>
                <w:kern w:val="0"/>
                <w:sz w:val="26"/>
                <w:szCs w:val="26"/>
                <w:lang w:val="uk-UA" w:eastAsia="ru-RU" w:bidi="ar-SA"/>
              </w:rPr>
              <w:t>22.01.2025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року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№Вн/10/68.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Строк надання послуг: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sz w:val="26"/>
                <w:szCs w:val="26"/>
                <w:lang w:val="uk-UA" w:eastAsia="ru-RU"/>
              </w:rPr>
              <w:t>з моменту підписання договору до 31 грудня 2025 року.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 xml:space="preserve">Кількість послуг: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 xml:space="preserve">Лот №1 Послуги із спостереження за засобами охоронної сигналізації,  технічне обслуговування та реагування на тривожні сповіщення нарядів реагування — 1 (одна) послуга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>на три об’єкти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lang w:val="uk-UA" w:eastAsia="ru-RU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Лот №2 Послуг із спостереження за засобами  тривожної сигналізації,  технічне обслуговування та реагування на тривожні сповіщення нарядів реагування —  1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auto"/>
                <w:kern w:val="0"/>
                <w:sz w:val="26"/>
                <w:szCs w:val="26"/>
                <w:u w:val="none"/>
                <w:lang w:val="uk-UA" w:eastAsia="ru-RU" w:bidi="ar-SA"/>
              </w:rPr>
              <w:t>одна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) послуга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на три об’єкти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u w:val="none"/>
                <w:lang w:val="uk-UA" w:eastAsia="ru-RU"/>
              </w:rPr>
              <w:t>Місце надання послуг: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6"/>
                <w:szCs w:val="26"/>
                <w:u w:val="none"/>
                <w:lang w:val="uk-UA" w:eastAsia="ru-RU"/>
              </w:rPr>
              <w:t xml:space="preserve">Лот №1 Послуги із спостереження за засобами охоронної сигналізації,  технічне обслуговування та реагування на тривожні сповіщення нарядів реагування 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position w:val="0"/>
                <w:sz w:val="20"/>
                <w:sz w:val="20"/>
                <w:szCs w:val="20"/>
                <w:u w:val="none"/>
                <w:vertAlign w:val="baseline"/>
                <w:lang w:val="uk-UA" w:eastAsia="ru-RU"/>
              </w:rPr>
              <w:t>Орендоване нежитлове приміщення (офіс) за адресою:Черкаська область, м. Золотоноша, вул. Новоселівська, буд1 (2 поверх); Черкаська область, смт Чорнобай, вул. Центральна, буд.211 (2 поверх), Черкаська область, м. Сміла, буд. Соборна, 96А (1 поверх);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4"/>
                <w:szCs w:val="24"/>
                <w:u w:val="none"/>
                <w:lang w:val="uk-UA" w:eastAsia="ru-RU"/>
              </w:rPr>
              <w:t xml:space="preserve">Лот №2 Послуг із спостереження за засобами  тривожної сигналізації,  технічне обслуговування та реагування на тривожні сповіщення нарядів реагування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sz w:val="20"/>
                <w:szCs w:val="20"/>
                <w:u w:val="none"/>
                <w:lang w:val="uk-UA"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position w:val="0"/>
                <w:sz w:val="20"/>
                <w:sz w:val="20"/>
                <w:szCs w:val="20"/>
                <w:u w:val="none"/>
                <w:vertAlign w:val="baseline"/>
                <w:lang w:val="uk-UA" w:eastAsia="ru-RU"/>
              </w:rPr>
              <w:t>Орендоване нежитлове приміщення (офіс) Сектор  “Золотоніське бюро правничої допомоги” Черкаська область, м. Золотоноша, вул. Новоселівська, буд. 1; Орендоване нежитлове приміщення (офіс) Сектор  “Смілянське  бюро правничої допомоги” Черкаська область, м. Сміла, вул. Соборна, буд. 96А; Орендоване нежитлове приміщення (офіс) Сектор  “Черкаське бюро правничої допомоги” Черкаська область, м. Черкаси, вул. Гоголя, буд. 221.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6"/>
                <w:szCs w:val="26"/>
                <w:u w:val="none"/>
                <w:lang w:val="uk-UA" w:eastAsia="ru-RU"/>
              </w:rPr>
              <w:t>Вимоги: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0"/>
                <w:sz w:val="24"/>
                <w:szCs w:val="24"/>
                <w:lang w:val="uk-UA" w:eastAsia="ru-RU" w:bidi="ar-SA"/>
              </w:rPr>
              <w:t>Н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аявність необхідного обладнання та матеріально-технічної бази (учасник повинен мати спеціальний одяг зі знаками розрізнення, спеціальні засоби самооборони, автомобілі, обладнані відповідно до ДСТУ 3849:2018. Довідка повинна містити інформацію про кількість груп швидкого реагування; марки, державні номери та кількість транспорту реагування, що знаходиться у власності Учасника та використовується цими групами, інформацію про спеціальні засоби самооборони, засоби зв’язку, спецодяг. У складі пропозиції Учасник надає копії свідоцтва про державні реєстрацію транспортних засобів. У разі використання партнерської матеріально-технічної бази, нарядів реагування, Учасник має підтвердити право на використання останніх. 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eastAsia="Tahoma"/>
                <w:bCs/>
                <w:color w:val="000000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2. </w:t>
            </w:r>
            <w:r>
              <w:rPr>
                <w:rFonts w:eastAsia="Calibri" w:cs="" w:ascii="Times New Roman" w:hAnsi="Times New Roman" w:cstheme="minorBidi" w:eastAsiaTheme="minorHAnsi"/>
                <w:i w:val="false"/>
                <w:i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ідповідність пункту централізованого спостереження вимогам державних стандартів України ДСТУ EN 50518:2019 (EN 50518:2019, IDT) «Пункт централізованого спостереження в якості центру спостереження та приймання тривожних сповіщень категорії І і послуги з централізованого спостереження за підоохоронними об’єктами». На підтвердження Учасник в складі пропозиції надає копію зазначеного сертифікату відповідності. 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 xml:space="preserve">3.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Пульт централізованого спостереження має відповідати вимогам державних стандартів України ДСТУ EN 50518:2019 (EN 50518:2019, IDT)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eastAsia="ru-RU"/>
              </w:rPr>
              <w:t>«Пункт централізованого спостереження в якості центру спостереження та приймання тривожних сповіщень категорії І і послуги з централізованого спостереження за підоохоронними об’єктами»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>.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Автомобілі, які використовуються для надання послуг в нарядах швидкого реагування повинні бути обладнані відповідно до вимог ДСТУ 3849:2018, «Кольорографічні схеми, розпізнавальні знаки, написи та спеціальні сигнали оперативних, спеціалізованих та спеціальних транспортних засобів. Загальні вимоги», мають бути обладнами відеореєстраторами та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GPS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-трекерами.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5.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Сертифікат ДСТУ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ISO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9001:2015 (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ISO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9001:2015, IDT) Система управління якістю. Вимоги, ДСТУ EN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ISO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9001:2018 (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ISO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9001:2015, IDT; EN 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  <w:lang w:val="en-US"/>
              </w:rPr>
              <w:t>ISO</w:t>
            </w:r>
            <w:r>
              <w:rPr>
                <w:rFonts w:cs="Times New Roman" w:ascii="Times New Roman" w:hAnsi="Times New Roman"/>
                <w:i w:val="false"/>
                <w:iCs w:val="false"/>
                <w:sz w:val="24"/>
                <w:szCs w:val="24"/>
              </w:rPr>
              <w:t xml:space="preserve"> 9001:2015, IDT) Система управління якістю. Вимоги у сфері послуг централізованого спостереження за підохоронними об’єктами, послуг з проектування, монтування, технічного обслуговування та ремонту систем пожежної, охоронної, суспільної сигналізації, контролювання доступу та охоронних теле (відео) систем, послуги реагування на спрацювання засобів технічної сигналізації.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2"/>
                <w:position w:val="0"/>
                <w:sz w:val="24"/>
                <w:sz w:val="24"/>
                <w:szCs w:val="24"/>
                <w:vertAlign w:val="baseline"/>
                <w:lang w:val="uk-UA" w:eastAsia="ru-RU"/>
              </w:rPr>
              <w:t xml:space="preserve">6.  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color w:val="auto"/>
                <w:kern w:val="2"/>
                <w:position w:val="0"/>
                <w:sz w:val="24"/>
                <w:sz w:val="24"/>
                <w:szCs w:val="24"/>
                <w:vertAlign w:val="baseline"/>
                <w:lang w:val="uk-UA" w:eastAsia="ru-RU" w:bidi="ar-SA"/>
              </w:rPr>
              <w:t>Сертифікат</w:t>
            </w:r>
            <w:r>
              <w:rPr>
                <w:rFonts w:eastAsia="Times New Roman" w:cs="Times New Roman" w:ascii="Times New Roman" w:hAnsi="Times New Roman"/>
                <w:i w:val="false"/>
                <w:iCs w:val="false"/>
                <w:kern w:val="2"/>
                <w:position w:val="0"/>
                <w:sz w:val="24"/>
                <w:sz w:val="24"/>
                <w:szCs w:val="24"/>
                <w:vertAlign w:val="baseline"/>
                <w:lang w:val="uk-UA" w:eastAsia="ru-RU"/>
              </w:rPr>
              <w:t xml:space="preserve"> міжнародного стандарту ISO 18788:2017 «Система управління щодо процесів із забезпечення приватної безпеки та охорони. Вимоги та настанови щодо застосування» у сфері: Послуги реагування на спрацювання засобів технічної сигналізації.</w:t>
            </w:r>
          </w:p>
        </w:tc>
      </w:tr>
    </w:tbl>
    <w:p>
      <w:pPr>
        <w:pStyle w:val="Normal"/>
        <w:pBdr>
          <w:bottom w:val="single" w:sz="4" w:space="1" w:color="000000"/>
        </w:pBdr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  <w:lang w:val="uk-UA"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altName w:val="Tahom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945c6"/>
    <w:rPr>
      <w:rFonts w:ascii="Segoe UI" w:hAnsi="Segoe UI" w:cs="Segoe UI"/>
      <w:sz w:val="18"/>
      <w:szCs w:val="18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Fontstyle01">
    <w:name w:val="fontstyle01"/>
    <w:qFormat/>
    <w:rPr>
      <w:rFonts w:ascii="TimesNewRomanPS-BoldMT" w:hAnsi="TimesNewRomanPS-BoldMT"/>
      <w:b/>
      <w:bCs w:val="false"/>
      <w:color w:val="000000"/>
      <w:sz w:val="22"/>
    </w:rPr>
  </w:style>
  <w:style w:type="character" w:styleId="Fontstyle21">
    <w:name w:val="fontstyle21"/>
    <w:qFormat/>
    <w:rPr>
      <w:rFonts w:ascii="TimesNewRomanPSMT" w:hAnsi="TimesNewRomanPSMT"/>
      <w:color w:val="000000"/>
      <w:sz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75f80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d945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674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6933-801C-45F7-A463-959A8CAB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Application>LibreOffice/6.4.1.2$Windows_x86 LibreOffice_project/4d224e95b98b138af42a64d84056446d09082932</Application>
  <Pages>3</Pages>
  <Words>812</Words>
  <Characters>5973</Characters>
  <CharactersWithSpaces>6788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2024-10-28T18:52:00Z</dcterms:created>
  <dc:creator>Пользователь</dc:creator>
  <dc:description/>
  <dc:language>uk-UA</dc:language>
  <cp:lastModifiedBy/>
  <cp:lastPrinted>2025-01-23T11:37:15Z</cp:lastPrinted>
  <dcterms:modified xsi:type="dcterms:W3CDTF">2025-01-23T18:32:14Z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