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125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bookmarkStart w:id="0" w:name="_Hlk165624852"/>
            <w:bookmarkStart w:id="1" w:name="_Hlk165308767"/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</w:rPr>
              <w:t>79710000-4 Охоронні послуги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(Лот №1 Послуги із спостереження за засобами охоронної сигналізації, їх технічне обслуговування та реагування на тривожні сповіщення нарядів реагування;</w:t>
            </w:r>
          </w:p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Лот №2 Послуг із спостереження за засобами  тривожної сигналізації, їх технічне обслуговування та реагування на тривожні сповіщення нарядів реагування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)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UA-2025-01-07-007171-a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8 8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00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en-US" w:eastAsia="ru-RU"/>
              </w:rPr>
              <w:t>,00 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вісім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десят вісім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тисяч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вісімсот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гривень 00 копійок)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12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i/>
                  <w:sz w:val="25"/>
                  <w:szCs w:val="25"/>
                  <w:lang w:eastAsia="ru-RU"/>
                </w:rPr>
                <w:t>https</w:t>
              </w:r>
            </w:hyperlink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 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Очікувана вартість сформована на підставі 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дійснення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пошук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, зб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ору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та аналіз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загальнодоступної інформації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що міститься в мережі Інтернет у відкритому доступі, в тому числі на сайтах  постачальників відповідної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>послуги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, в електронних каталогах,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та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в електронній системі закупівель "Prozorro",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враховуючи усі технічні, якісні та кількісні характеристики предмета закупівлі,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що зазначені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в службовій записці  від ініціатора закупівлі .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/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обгрунтована наявною потребою Замовника з огляду на характеристики визначені у службовій записці  від ініціатора закупівлі від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07.01.2025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з моменту підписання договору до 31 грудня 2025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послуг: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Лот №1 Послуги із спостереження за засобами охоронної сигналізації, їх технічне обслуговування та реагування на тривожні сповіщення нарядів реагування — 3 (три) послуги;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Лот №2 Послуг із спостереження за засобами  тривожної сигналізації, їх технічне обслуговування та реагування на тривожні сповіщення нарядів реагування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 —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7 (сім) послуг.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Місце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Лот №1 Послуги із спостереження за засобами охоронної сигналізації, їх технічне обслуговування та реагування на тривожні сповіщення нарядів реагування 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>Хмельницький відділ надання безоплатної правничої допомоги (Хмельницька область, м. Хмельницький, вул. Соборна, буд.75) (2 поверх), Кам’янець-Подільський відділ надання безоплатної правничої допомоги (Хмельницька область, м. Кам’янець – Подільський, вул. Івана Мазепи буд.44) (3 та 4 поверх) та Шепетівський відділ надання безоплатної правничої допомоги (Хмельницька область, м. Шепетівка, вул. Героїв Небесної Сотні, буд. 44) (1 поверх).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>Лот №2 Послуг із спостереження за засобами  тривожної сигналізації, їх технічне обслуговування та реагування на тривожні сповіщення нарядів реагування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Сектор  “Хмельницьке бюро правничої допомоги” (Хмельницька область, м. Хмельницький, вул. Соборна, буд. 75) ; Сектор  “Кам’янець — Подільське бюро правничої допомоги” (Хмельницька область, м. Кам’янець — Подільський, вул. Івана Мазепи, буд. 44) ; Сектор  “Шепетівське бюро правничої допомоги” (Хмельницька область, м. Шепетівка, вул. Героїв Небесної Сотні, буд. 44) ;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Сектор  “Полонське бюро правничої допомоги”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Хмельницька область, м. Полонне, вул. Лесі Українки, буд. 101);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Сектор  “Славутське бюро правничої допомоги”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Хмельницька область, м. Славута, вул. Миру, буд. 15); Сектор  “Ізяславське бюро правничої допомоги (Хмельницька область, м. Ізяслав, вул. Миколи Микитюка, буд. 16а)  та Сектор “Старокостянтинівське  бюро правничої до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sz w:val="20"/>
                <w:szCs w:val="20"/>
                <w:u w:val="none"/>
                <w:lang w:val="uk-UA" w:eastAsia="ru-RU"/>
              </w:rPr>
              <w:t>помоги (Хмельницька область, м. Старокостянтинів, вул. Миру, буд. 36).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Вимоги: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position w:val="0"/>
                <w:sz w:val="26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1. Учасник повинен мати власний </w:t>
            </w:r>
            <w:r>
              <w:rPr>
                <w:rFonts w:ascii="Times New Roman" w:hAnsi="Times New Roman"/>
                <w:b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сертифікований пункт цілодобового спостереження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, який відповідає</w:t>
            </w:r>
            <w:r>
              <w:rPr>
                <w:rFonts w:ascii="Times New Roman" w:hAnsi="Times New Roman"/>
                <w:b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вимогам Державних стандартів України, а саме ДСТУ ЕN 50518:2019 та який виданий відповідним органом з сертифікації акредитованим національним органом України з акредитації. </w:t>
            </w:r>
            <w:r>
              <w:rPr>
                <w:rFonts w:ascii="Times New Roman" w:hAnsi="Times New Roman"/>
                <w:bCs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Надати копію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сертифіката відповідності дійсний протягом 2025 року.</w:t>
            </w:r>
          </w:p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rFonts w:eastAsia="Tahoma"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2. Учасник повинен мати сертифікат відповідності послуг, які підтверджують якість надання послуг з технічного обслуговування систем охоронної сигналізації у відповідності до вимог:  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>ДСТУ С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L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>С/Т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S</w:t>
            </w:r>
            <w:r>
              <w:rPr>
                <w:rStyle w:val="Fontstyle01"/>
                <w:rFonts w:eastAsia="Tahoma" w:ascii="Times New Roman" w:hAnsi="Times New Roman"/>
                <w:b w:val="false"/>
                <w:bCs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 50131-7:2019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. Системи охоронної сигналізації. Частина 7. Правила застосування; ДСТУ 4030-2001 Системи тривожної сигналізації. Системи охоронного призначення; ДСТУ 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  <w:lang w:val="en-US"/>
              </w:rPr>
              <w:t>EN</w:t>
            </w:r>
            <w:r>
              <w:rPr>
                <w:rStyle w:val="Fontstyle21"/>
                <w:rFonts w:ascii="Times New Roman" w:hAnsi="Times New Roman"/>
                <w:i/>
                <w:iCs/>
                <w:position w:val="0"/>
                <w:sz w:val="22"/>
                <w:sz w:val="26"/>
                <w:szCs w:val="26"/>
                <w:vertAlign w:val="baseline"/>
              </w:rPr>
              <w:t xml:space="preserve"> 16763:2017 Послуги та роботи щодо систем протипожежного захисту та систем охоронного призначення –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виданий відповідним органом з сертифікації акредитованим національним органом України з акредитації. </w:t>
            </w:r>
            <w:r>
              <w:rPr>
                <w:rFonts w:ascii="Times New Roman" w:hAnsi="Times New Roman"/>
                <w:bCs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Надати копію </w:t>
            </w: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сертифіката відповідності. </w:t>
            </w:r>
          </w:p>
          <w:p>
            <w:pPr>
              <w:pStyle w:val="ListParagraph"/>
              <w:spacing w:lineRule="auto" w:line="240"/>
              <w:ind w:left="0" w:hanging="0"/>
              <w:jc w:val="both"/>
              <w:rPr>
                <w:rFonts w:ascii="Times New Roman" w:hAnsi="Times New Roman"/>
                <w:position w:val="0"/>
                <w:sz w:val="26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3. Учасник повинен мати Сертифікат на систему менеджменту якості стосовно: </w:t>
            </w:r>
            <w:bookmarkStart w:id="2" w:name="_Hlk89783170"/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>діяльності у сфері охорони громадського порядку та безпеки; охоронної діяльності; проектування, монтажу та технічного обслуговування систем охоронної сигналізації, контролю доступу та охоронних теле (відео) систем</w:t>
            </w:r>
            <w:bookmarkEnd w:id="2"/>
            <w:r>
              <w:rPr>
                <w:rFonts w:ascii="Times New Roman" w:hAnsi="Times New Roman"/>
                <w:i/>
                <w:iCs/>
                <w:position w:val="0"/>
                <w:sz w:val="26"/>
                <w:sz w:val="26"/>
                <w:szCs w:val="26"/>
                <w:vertAlign w:val="baseline"/>
              </w:rPr>
              <w:t xml:space="preserve"> ISO 9001:2015 «Системи менеджменту якості. Вимоги» (ДСТУ ISO 9001:2015 “Системи управління якістю. Вимоги”, IDT), який буде чинним протягом 2025 року ( необхідно надати копію у складі тендерної пропозиції).</w:t>
            </w:r>
          </w:p>
          <w:p>
            <w:pPr>
              <w:pStyle w:val="ListParagraph"/>
              <w:widowControl w:val="false"/>
              <w:suppressAutoHyphens w:val="false"/>
              <w:spacing w:lineRule="auto" w:line="240" w:before="0" w:after="200"/>
              <w:ind w:lef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4. Учасник повинен мати Сертифікат на систему екологічного менеджменту: діяльності у сфері охорони громадського порядку та безпеки;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охоронної діяльності;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kern w:val="2"/>
                <w:position w:val="0"/>
                <w:sz w:val="26"/>
                <w:sz w:val="26"/>
                <w:szCs w:val="26"/>
                <w:vertAlign w:val="baseline"/>
                <w:lang w:val="uk-UA" w:eastAsia="ru-RU"/>
              </w:rPr>
              <w:t>проектування, монтажу та технічного обслуговування систем охоронної сигналізації, контролю доступу та охоронних теле (відео) систем ISO 14001:2015 «Системи екологічного менеджменту. Вимоги та настанови до застосування» (ДСТУ ISO 14001:2015 “Системи екологічного управління. Вимоги та настанови щодо застосування”, IDT), який буде чинним протягом 2025 року (необхідно надати копію у складі тендерної пропозиції).</w:t>
            </w:r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Fontstyle01">
    <w:name w:val="fontstyle01"/>
    <w:qFormat/>
    <w:rPr>
      <w:rFonts w:ascii="TimesNewRomanPS-BoldMT" w:hAnsi="TimesNewRomanPS-BoldMT"/>
      <w:b/>
      <w:bCs w:val="false"/>
      <w:color w:val="000000"/>
      <w:sz w:val="22"/>
    </w:rPr>
  </w:style>
  <w:style w:type="character" w:styleId="Fontstyle21">
    <w:name w:val="fontstyle21"/>
    <w:qFormat/>
    <w:rPr>
      <w:rFonts w:ascii="TimesNewRomanPSMT" w:hAnsi="TimesNewRomanPSMT"/>
      <w:color w:val="000000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7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Application>LibreOffice/6.4.1.2$Windows_x86 LibreOffice_project/4d224e95b98b138af42a64d84056446d09082932</Application>
  <Pages>3</Pages>
  <Words>824</Words>
  <Characters>5937</Characters>
  <CharactersWithSpaces>6759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2025-01-09T16:14:29Z</cp:lastPrinted>
  <dcterms:modified xsi:type="dcterms:W3CDTF">2025-01-09T16:15:10Z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