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Додаток 1 </w:t>
      </w:r>
    </w:p>
    <w:p>
      <w:pPr>
        <w:ind w:left="5040"/>
        <w:rPr>
          <w:b w:val="1"/>
          <w:color w:val="000000"/>
        </w:rPr>
      </w:pPr>
      <w:r>
        <w:rPr>
          <w:sz w:val="24"/>
          <w:szCs w:val="24"/>
        </w:rPr>
        <w:t xml:space="preserve">до Порядку і умов укладення договорів з медіаторами, які залучаються центрами з надання безоплатної правничої допомоги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76" w:beforeAutospacing="0" w:afterAutospacing="0"/>
        <w:jc w:val="center"/>
        <w:rPr>
          <w:b w:val="1"/>
          <w:color w:val="000000"/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sz w:val="24"/>
          <w:szCs w:val="24"/>
        </w:rPr>
      </w:pPr>
      <w:r>
        <w:rPr>
          <w:b w:val="1"/>
          <w:sz w:val="24"/>
          <w:szCs w:val="24"/>
        </w:rPr>
        <w:t xml:space="preserve"> ТИПОВИЙ ДОГОВІР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sz w:val="24"/>
          <w:szCs w:val="24"/>
        </w:rPr>
      </w:pPr>
      <w:r>
        <w:rPr>
          <w:b w:val="1"/>
          <w:sz w:val="24"/>
          <w:szCs w:val="24"/>
        </w:rPr>
        <w:t xml:space="preserve">про співпрацю центру з надання безоплатної правничої допомоги </w:t>
      </w:r>
    </w:p>
    <w:p>
      <w:pPr>
        <w:jc w:val="center"/>
        <w:rPr>
          <w:b w:val="1"/>
          <w:sz w:val="24"/>
          <w:szCs w:val="24"/>
        </w:rPr>
      </w:pPr>
      <w:r>
        <w:rPr>
          <w:b w:val="1"/>
          <w:sz w:val="24"/>
          <w:szCs w:val="24"/>
        </w:rPr>
        <w:t>з медіатором щодо надання послуг з медіації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000000"/>
          <w:sz w:val="24"/>
          <w:szCs w:val="24"/>
        </w:rPr>
      </w:pPr>
      <w:bookmarkStart w:id="0" w:name="_heading=h.gjdgxs"/>
      <w:bookmarkEnd w:id="0"/>
      <w:r>
        <w:rPr>
          <w:b w:val="1"/>
          <w:color w:val="000000"/>
          <w:sz w:val="24"/>
          <w:szCs w:val="24"/>
        </w:rPr>
        <w:t xml:space="preserve">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м. ________</w:t>
        <w:tab/>
        <w:tab/>
        <w:tab/>
        <w:tab/>
        <w:tab/>
        <w:tab/>
        <w:t xml:space="preserve">                          «___ » _________ 20___ року</w:t>
      </w: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___________________________________________________________________(далі – Центр),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>(найменування міжрегіонального центру з надання безоплатної правничої допомоги)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>(адреса місцезнаходження Центру)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ідентифікаційний код згідно з відомостями Єдиного державного реєстру юридичних осіб, фізичних осіб-підприємців та громадських формувань (далі – ЄДРПОУ) ______________________, в особі директора/уповноваженої особи Центру _______________________________________________________________________________,</w:t>
      </w:r>
    </w:p>
    <w:p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(прізвище, власне ім’я, по батькові (за наявності) директора Центру/уповноваженої особи Центру)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що діє на підставі ________________________________________________________________ </w:t>
      </w:r>
    </w:p>
    <w:p>
      <w:pPr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(Положення про ___________ центр з надання безоплатної правничої допомоги, затвердженого наказом Координаційного центру з надання правничої допомоги від ___№ __/наказу ___________ центру з надання безоплатної правничої допомоги від ____ №______)</w:t>
      </w:r>
      <w:r>
        <w:rPr>
          <w:sz w:val="24"/>
          <w:szCs w:val="24"/>
        </w:rPr>
        <w:t>,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з однієї сторони та медіатор _______________________________________________________,</w:t>
      </w:r>
    </w:p>
    <w:p>
      <w:pPr>
        <w:ind w:firstLine="567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16"/>
          <w:szCs w:val="16"/>
        </w:rPr>
        <w:t xml:space="preserve"> (прізвище, власне ім’я, по батькові (за наявності) медіатора),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який проживає за адресою: ________________________________________________________,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паспорт серії _____</w:t>
      </w:r>
      <w:r>
        <w:rPr>
          <w:b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№ ________, виданий _________________ «____» ___________ ___ року, </w:t>
      </w:r>
    </w:p>
    <w:p>
      <w:pPr>
        <w:jc w:val="center"/>
        <w:rPr>
          <w:sz w:val="14"/>
          <w:szCs w:val="14"/>
        </w:rPr>
      </w:pPr>
      <w:r>
        <w:rPr>
          <w:i w:val="1"/>
          <w:sz w:val="16"/>
          <w:szCs w:val="16"/>
        </w:rPr>
        <w:t xml:space="preserve"> </w:t>
        <w:tab/>
        <w:tab/>
        <w:tab/>
        <w:tab/>
        <w:tab/>
      </w:r>
      <w:r>
        <w:rPr>
          <w:sz w:val="16"/>
          <w:szCs w:val="16"/>
        </w:rPr>
        <w:t xml:space="preserve"> (ким)</w:t>
        <w:tab/>
      </w:r>
      <w:r>
        <w:rPr>
          <w:i w:val="1"/>
          <w:sz w:val="16"/>
          <w:szCs w:val="16"/>
        </w:rPr>
        <w:tab/>
        <w:tab/>
        <w:t xml:space="preserve">          </w:t>
      </w:r>
      <w:r>
        <w:rPr>
          <w:sz w:val="14"/>
          <w:szCs w:val="14"/>
        </w:rPr>
        <w:t>(коли)</w:t>
      </w:r>
    </w:p>
    <w:p>
      <w:pPr>
        <w:jc w:val="both"/>
        <w:rPr>
          <w:sz w:val="24"/>
          <w:szCs w:val="24"/>
        </w:rPr>
      </w:pPr>
      <w:bookmarkStart w:id="1" w:name="_heading=h.30j0zll"/>
      <w:bookmarkEnd w:id="1"/>
      <w:r>
        <w:rPr>
          <w:sz w:val="24"/>
          <w:szCs w:val="24"/>
        </w:rPr>
        <w:t>реєстраційний номер облікової картки платника податків</w:t>
      </w:r>
      <w:r>
        <w:rPr>
          <w:rStyle w:val="C6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далі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>РНОКПП</w:t>
      </w:r>
      <w:r>
        <w:rPr>
          <w:sz w:val="26"/>
          <w:szCs w:val="26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та здійснює діяльність медіатора індивідуально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 w:val="1"/>
          <w:sz w:val="24"/>
          <w:szCs w:val="24"/>
        </w:rPr>
        <w:t>як фізична</w:t>
      </w:r>
      <w:r>
        <w:rPr>
          <w:b w:val="1"/>
          <w:sz w:val="24"/>
          <w:szCs w:val="24"/>
        </w:rPr>
        <w:t>,</w:t>
      </w:r>
      <w:r>
        <w:rPr>
          <w:b w:val="1"/>
          <w:sz w:val="24"/>
          <w:szCs w:val="24"/>
        </w:rPr>
        <w:t xml:space="preserve"> що провадить незалежну професійну діяльність</w:t>
      </w:r>
      <w:r>
        <w:rPr>
          <w:sz w:val="24"/>
          <w:szCs w:val="24"/>
        </w:rPr>
        <w:t>/</w:t>
      </w:r>
      <w:r>
        <w:rPr>
          <w:b w:val="1"/>
          <w:sz w:val="24"/>
          <w:szCs w:val="24"/>
        </w:rPr>
        <w:t>фізична особа</w:t>
      </w:r>
      <w:r>
        <w:rPr>
          <w:b w:val="1"/>
          <w:sz w:val="24"/>
          <w:szCs w:val="24"/>
        </w:rPr>
        <w:t>-</w:t>
      </w:r>
      <w:r>
        <w:rPr>
          <w:b w:val="1"/>
          <w:sz w:val="24"/>
          <w:szCs w:val="24"/>
        </w:rPr>
        <w:t>підприємець</w:t>
      </w:r>
      <w:r>
        <w:rPr>
          <w:sz w:val="24"/>
          <w:szCs w:val="24"/>
        </w:rPr>
        <w:t xml:space="preserve"> за видом економічної діяльності </w:t>
      </w:r>
      <w:r>
        <w:rPr>
          <w:sz w:val="24"/>
          <w:szCs w:val="24"/>
        </w:rPr>
        <w:t>(</w:t>
      </w:r>
      <w:r>
        <w:rPr>
          <w:sz w:val="24"/>
          <w:szCs w:val="24"/>
        </w:rPr>
        <w:t>КВЕД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74</w:t>
      </w:r>
      <w:r>
        <w:rPr>
          <w:sz w:val="24"/>
          <w:szCs w:val="24"/>
        </w:rPr>
        <w:t>.</w:t>
      </w:r>
      <w:r>
        <w:rPr>
          <w:sz w:val="24"/>
          <w:szCs w:val="24"/>
        </w:rPr>
        <w:t>90 Інша професійна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наукова та технічна діяльність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н</w:t>
      </w:r>
      <w:r>
        <w:rPr>
          <w:sz w:val="24"/>
          <w:szCs w:val="24"/>
        </w:rPr>
        <w:t>.</w:t>
      </w:r>
      <w:r>
        <w:rPr>
          <w:sz w:val="24"/>
          <w:szCs w:val="24"/>
        </w:rPr>
        <w:t>в</w:t>
      </w:r>
      <w:r>
        <w:rPr>
          <w:sz w:val="24"/>
          <w:szCs w:val="24"/>
        </w:rPr>
        <w:t>.</w:t>
      </w:r>
      <w:r>
        <w:rPr>
          <w:sz w:val="24"/>
          <w:szCs w:val="24"/>
        </w:rPr>
        <w:t>і</w:t>
      </w:r>
      <w:r>
        <w:rPr>
          <w:sz w:val="24"/>
          <w:szCs w:val="24"/>
        </w:rPr>
        <w:t>.</w:t>
      </w:r>
      <w:r>
        <w:rPr>
          <w:sz w:val="24"/>
          <w:szCs w:val="24"/>
        </w:rPr>
        <w:t>у</w:t>
      </w:r>
      <w:r>
        <w:rPr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на підставі 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>
      <w:pPr>
        <w:jc w:val="center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  <w:highlight w:val="white"/>
        </w:rPr>
        <w:t xml:space="preserve">дата та номер </w:t>
      </w:r>
      <w:r>
        <w:rPr>
          <w:color w:val="000000"/>
          <w:sz w:val="16"/>
          <w:szCs w:val="16"/>
        </w:rPr>
        <w:t>довідки про взяття на облік платника податків, відомості щодо якого не підлягають включенню до Єдиного державного реєстру (34-ОПП)</w:t>
      </w:r>
      <w:r>
        <w:rPr>
          <w:color w:val="000000"/>
          <w:sz w:val="16"/>
          <w:szCs w:val="16"/>
          <w:highlight w:val="white"/>
        </w:rPr>
        <w:t>, що</w:t>
      </w:r>
      <w:r>
        <w:rPr>
          <w:color w:val="000000"/>
          <w:sz w:val="16"/>
          <w:szCs w:val="16"/>
        </w:rPr>
        <w:t xml:space="preserve"> є свідоцтвом про реєстрацію у контролюючому органі фізичної особи, яка провадить незалежну професійну діяльність</w:t>
      </w:r>
      <w:r>
        <w:rPr>
          <w:color w:val="000000"/>
          <w:sz w:val="16"/>
          <w:szCs w:val="16"/>
          <w:highlight w:val="white"/>
        </w:rPr>
        <w:t>/ дата та номер запису в Єдиному державному реєстрі юридичних осіб, фізичних осіб-підприємців та громадських формувань)</w:t>
      </w:r>
    </w:p>
    <w:p>
      <w:pPr>
        <w:jc w:val="center"/>
        <w:rPr>
          <w:b w:val="1"/>
          <w:color w:val="000000"/>
          <w:sz w:val="16"/>
          <w:szCs w:val="16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включений до Реєстру медіаторів, які залучаються центрами з надання безоплатної правничої допомоги (далі – Реєстр), свідоцтво про підтвердження спеціалізації медіатора                                 для надання послуг з медіації, проведення якої забезпечують центри з                                          надання безоплатної правничої допомоги, за найменуванням спеціалізації «медіація                          у відновному правосудді за участю неповнолітніх осіб» (далі – свідоцтво про             підтвердження спеціалізації медіатора), видане Координаційним центром з надання правничої допомоги (далі – Координаційний центр) ___________________________________</w:t>
      </w:r>
    </w:p>
    <w:p>
      <w:pPr>
        <w:ind w:left="5760"/>
        <w:jc w:val="center"/>
        <w:rPr>
          <w:sz w:val="16"/>
          <w:szCs w:val="16"/>
        </w:rPr>
      </w:pPr>
      <w:r>
        <w:rPr>
          <w:sz w:val="16"/>
          <w:szCs w:val="16"/>
        </w:rPr>
        <w:t>(дата та номер свідоцтва про підтвердження спеціалізації медіатора)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(далі – медіатор), з іншої сторони (далі – Сторони), керуючись статтями 6, 627, 641, 901-907 Цивільного кодексу України, уклали цей договір (далі – Договір) про таке.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00000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color w:val="000000"/>
          <w:sz w:val="24"/>
          <w:szCs w:val="24"/>
        </w:rPr>
      </w:pPr>
      <w:r>
        <w:rPr>
          <w:b w:val="1"/>
          <w:color w:val="000000"/>
          <w:sz w:val="24"/>
          <w:szCs w:val="24"/>
        </w:rPr>
        <w:t>Предмет Договору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  <w:sz w:val="24"/>
          <w:szCs w:val="24"/>
        </w:rPr>
      </w:pPr>
    </w:p>
    <w:p>
      <w:pPr>
        <w:pStyle w:val="P8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Предметом цього Договору є узгоджені умови співробітництва між Центром та медіатором, зокрема з питань видачі медіатору доручень Центру для надання послуг з медіації (далі – Доручення) очно та онлайн </w:t>
      </w:r>
      <w:r>
        <w:rPr>
          <w:sz w:val="24"/>
          <w:szCs w:val="24"/>
          <w:highlight w:val="white"/>
        </w:rPr>
        <w:t>за категоріями конфліктів (спорів), за якими відповідно до законодавства проведення медіації забезпечують центри з надання безоплатної правничої допомоги, їх виконання медіатором.</w:t>
      </w:r>
    </w:p>
    <w:p>
      <w:pPr>
        <w:pStyle w:val="P8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Сторони домовились, що Центр видаватиме медіатору Доручення для надання послуг з медіації, проведення якої Центр забезпечує в установленому законодавством порядку, зокрема, відповідно до Порядку реалізації пілотного проєкту «Програма відновного правосуддя за участю неповнолітніх, які є підозрюваними, обвинуваченими у вчиненні кримінального правопорушення», затвердженого наказом Міністерства юстиції України, Міністерства внутрішніх справ України, Офісу Генерального прокурора від 22 липня 2024 року  № 2176/5/501/176 (далі – Порядок), а медіатор братиме протягом бюджетного періоду Доручення на виконання за умовами цього Договору, з дотриманням вимог Закону України «Про медіацію», кодексу професійної етики медіатора, якого медіатор дотримується у своїй діяльності, договору про проведення медіації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уклад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еного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 xml:space="preserve"> між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 xml:space="preserve"> медіатор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м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 xml:space="preserve"> і сторонами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 xml:space="preserve"> конфлік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ту (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спо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ру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)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,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sz w:val="24"/>
          <w:szCs w:val="24"/>
        </w:rPr>
        <w:t xml:space="preserve">Порядку і умов укладення договорів з медіаторами, які залучаються центрами з надання безоплатної правничої допомоги, порядку та правил проведення медіації, порядку забезпечення </w:t>
      </w:r>
      <w:r>
        <w:rPr>
          <w:sz w:val="24"/>
          <w:szCs w:val="24"/>
          <w:highlight w:val="white"/>
        </w:rPr>
        <w:t xml:space="preserve">проведення моніторингу якості надання медіаторами послуг з медіації, порядку підвищення професійного рівня медіаторів, які залучаються центрами з надання безоплатної правничої допомоги, </w:t>
      </w:r>
      <w:r>
        <w:rPr>
          <w:sz w:val="24"/>
          <w:szCs w:val="24"/>
        </w:rPr>
        <w:t>затверджених Координаційним центром.</w:t>
      </w:r>
    </w:p>
    <w:p>
      <w:pPr>
        <w:pStyle w:val="P8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За цим Договором Сторони зобов'язуються не розголошувати та не поширювати дані досудового розслідування, за що передбачена кримінальна відповідальність відповідно до статті 387 Кримінального кодексу України, а також відомості про персональні дані та будь-яку іншу конфіденційну інформацію (крім випадків, встановлених законом), які стали відомі Сторонам у зв’язку з виконанням цього Договору.</w:t>
      </w:r>
    </w:p>
    <w:p>
      <w:pPr>
        <w:pStyle w:val="P8"/>
        <w:numPr>
          <w:ilvl w:val="0"/>
          <w:numId w:val="1"/>
        </w:numPr>
        <w:tabs>
          <w:tab w:val="left" w:pos="993" w:leader="none"/>
        </w:tabs>
        <w:ind w:firstLine="567" w:left="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Цей Договір не є підставою для оплати послуг та відшкодування витрат медіатора, </w:t>
      </w:r>
      <w:r>
        <w:rPr>
          <w:sz w:val="24"/>
          <w:szCs w:val="24"/>
          <w:highlight w:val="white"/>
        </w:rPr>
        <w:t xml:space="preserve">пов’язаних із здійсненням підготовчих заходів до медіації та/або її проведенням. </w:t>
      </w:r>
    </w:p>
    <w:p>
      <w:pPr>
        <w:pStyle w:val="P8"/>
        <w:numPr>
          <w:ilvl w:val="0"/>
          <w:numId w:val="1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Сторони підтверджують, що </w:t>
      </w:r>
      <w:r>
        <w:rPr>
          <w:sz w:val="24"/>
          <w:szCs w:val="24"/>
        </w:rPr>
        <w:t xml:space="preserve">оплата послуг та відшкодування витрат медіатора, </w:t>
      </w:r>
      <w:r>
        <w:rPr>
          <w:sz w:val="24"/>
          <w:szCs w:val="24"/>
          <w:highlight w:val="white"/>
        </w:rPr>
        <w:t xml:space="preserve">пов’язаних із здійсненням підготовчих заходів до медіації та/або її проведенням, здійснюється відповідно до </w:t>
      </w:r>
      <w:r>
        <w:rPr>
          <w:sz w:val="24"/>
          <w:szCs w:val="24"/>
        </w:rPr>
        <w:t>Порядку оплати послуг з медіації медіаторам, які залучаються центрами з надання безоплатної правничої допомоги, затвердженого постановою Кабінету Міністрів України від 19 січня 2024 року № 63, наказу Координаційного центру «Деякі питання оплати послуг з медіації медіаторам, які залучаються центрами з надання безоплатної правничої допомоги».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1134" w:leader="none"/>
        </w:tabs>
        <w:spacing w:lineRule="auto" w:line="276" w:beforeAutospacing="0" w:afterAutospacing="0"/>
        <w:jc w:val="both"/>
        <w:rPr>
          <w:color w:val="000000"/>
          <w:sz w:val="24"/>
          <w:szCs w:val="24"/>
        </w:rPr>
      </w:pPr>
    </w:p>
    <w:p>
      <w:pPr>
        <w:keepNext w:val="1"/>
        <w:keepLines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color w:val="000000"/>
          <w:sz w:val="24"/>
          <w:szCs w:val="24"/>
        </w:rPr>
      </w:pPr>
      <w:r>
        <w:rPr>
          <w:b w:val="1"/>
          <w:color w:val="000000"/>
          <w:sz w:val="24"/>
          <w:szCs w:val="24"/>
        </w:rPr>
        <w:t>Строк дії Договору</w:t>
      </w:r>
    </w:p>
    <w:p>
      <w:pPr>
        <w:keepNext w:val="1"/>
        <w:keepLines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color w:val="000000"/>
        </w:rPr>
      </w:pPr>
    </w:p>
    <w:p>
      <w:pPr>
        <w:pStyle w:val="P8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Договір діє з моменту підписання та до «____» ____________ 20___ року.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Відповідно до частини третьої статті 631 Цивільного кодексу України умови Договору розповсюджуються на відносини, що виникли на підставі Доручення, виданого Центром </w:t>
      </w:r>
      <w:r>
        <w:rPr>
          <w:sz w:val="24"/>
          <w:szCs w:val="24"/>
        </w:rPr>
        <w:t>м</w:t>
      </w:r>
      <w:r>
        <w:rPr>
          <w:color w:val="000000"/>
          <w:sz w:val="24"/>
          <w:szCs w:val="24"/>
        </w:rPr>
        <w:t>едіаторові до моменту укладання цього Договору</w:t>
      </w:r>
      <w:r>
        <w:rPr>
          <w:sz w:val="24"/>
          <w:szCs w:val="24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4"/>
          <w:szCs w:val="24"/>
        </w:rPr>
      </w:pPr>
    </w:p>
    <w:p>
      <w:pPr>
        <w:keepNext w:val="1"/>
        <w:keepLines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color w:val="000000"/>
          <w:sz w:val="24"/>
          <w:szCs w:val="24"/>
        </w:rPr>
      </w:pPr>
      <w:r>
        <w:rPr>
          <w:b w:val="1"/>
          <w:color w:val="000000"/>
          <w:sz w:val="24"/>
          <w:szCs w:val="24"/>
        </w:rPr>
        <w:t>Обов’язки сторін</w:t>
      </w:r>
    </w:p>
    <w:p>
      <w:pPr>
        <w:pStyle w:val="P8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Центр</w:t>
      </w:r>
      <w:r>
        <w:rPr>
          <w:color w:val="000000"/>
          <w:sz w:val="24"/>
          <w:szCs w:val="24"/>
        </w:rPr>
        <w:t xml:space="preserve"> зобов’язується:</w:t>
      </w:r>
    </w:p>
    <w:p>
      <w:pPr>
        <w:pStyle w:val="P8"/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повідомляти медіатора про нормативно правові акти та організаційно-розпорядчі акти Координаційного центру та Центру, що стосуються забезпечення надання послуг з медіації центрами з надання безоплатної правничої допомоги, а також про порядок і умови укладення договорів про надання послуг з медіації за Дорученнями;</w:t>
      </w:r>
    </w:p>
    <w:p>
      <w:pPr>
        <w:pStyle w:val="P8"/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повідомляти про прийняття рішення</w:t>
      </w:r>
      <w:r>
        <w:rPr>
          <w:sz w:val="24"/>
          <w:szCs w:val="24"/>
        </w:rPr>
        <w:t xml:space="preserve"> про видачу медіатору Доручення Центру </w:t>
      </w:r>
      <w:r>
        <w:rPr>
          <w:color w:val="000000"/>
          <w:sz w:val="24"/>
          <w:szCs w:val="24"/>
        </w:rPr>
        <w:t xml:space="preserve">за його попередньою згодою; </w:t>
      </w:r>
    </w:p>
    <w:p>
      <w:pPr>
        <w:pStyle w:val="P8"/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видавати медіатору Доручення у встановленому порядку;</w:t>
      </w:r>
    </w:p>
    <w:p>
      <w:pPr>
        <w:pStyle w:val="P8"/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передавати медіатору інформацію та скановані копії документів, які необхідні медіатору для врегулювання конфлікту (спору) за Дорученнями, та передання яких Центром медіатору передбачено законодавством;</w:t>
      </w:r>
    </w:p>
    <w:p>
      <w:pPr>
        <w:pStyle w:val="P8"/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повідомляти медіатора про залучення Центром другого медіатора (комедіатора) у межах конфлікту (спору), для врегулювання якого медіатору видано Доручення;</w:t>
      </w:r>
    </w:p>
    <w:p>
      <w:pPr>
        <w:pStyle w:val="P8"/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повідомляти медіатора про можливості Центру щодо організації проведення зустрічей між медіатором, сторонами конфлікту (спору) та іншими учасниками медіації;</w:t>
      </w:r>
    </w:p>
    <w:p>
      <w:pPr>
        <w:pStyle w:val="P8"/>
        <w:numPr>
          <w:ilvl w:val="0"/>
          <w:numId w:val="5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забезпечувати надання у користування в приміщеннях Центру обладнання та інших матеріально-технічних засобів, що необхідні для належного надання медіатором послуг з медіації (за наявності в приміщеннях Центру умов, що забезпечуватимуть конфіденційність зустрічей медіатора та інших учасників медіації);</w:t>
      </w:r>
    </w:p>
    <w:p>
      <w:pPr>
        <w:pStyle w:val="P8"/>
        <w:numPr>
          <w:ilvl w:val="0"/>
          <w:numId w:val="5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сприяти створенню належних умов для надання медіатором послуг з медіації у приміщеннях Центру, а також під час взаємодії медіатора та працівників Центру, що відповідають за залучення медіатора з Реєстру, видачу йому Доручень, прийняття та оброблення документів, які подає медіатор до Центру;</w:t>
      </w:r>
    </w:p>
    <w:p>
      <w:pPr>
        <w:pStyle w:val="P8"/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обліковувати кількість виданих медіатору Доручень та договорів про надання послуг з медіації за Дорученнями;</w:t>
      </w:r>
    </w:p>
    <w:p>
      <w:pPr>
        <w:pStyle w:val="P8"/>
        <w:numPr>
          <w:ilvl w:val="0"/>
          <w:numId w:val="5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негайно приймати рішення про скасування 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Д</w:t>
      </w:r>
      <w:r>
        <w:rPr>
          <w:sz w:val="24"/>
          <w:szCs w:val="24"/>
        </w:rPr>
        <w:t xml:space="preserve">оручення, виданого медіатору, у разі отримання від 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м</w:t>
      </w:r>
      <w:r>
        <w:rPr>
          <w:sz w:val="24"/>
          <w:szCs w:val="24"/>
        </w:rPr>
        <w:t>едіатора інформації про прийняте ним рішення про припинення надання послуг з медіації, у зв’язку з виникненням особистих обставин, відносин медіатора з однією із сторін конфлікту (спору) в будь-якій сфері, крім медіації, та/або конфлікту інтересів, які можуть викликати обгрунтований сумнів у нейтральності, незалежності та неупередженості Медіатора.</w:t>
      </w:r>
    </w:p>
    <w:p>
      <w:pPr>
        <w:pStyle w:val="P8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Медіатор </w:t>
      </w:r>
      <w:r>
        <w:rPr>
          <w:sz w:val="24"/>
          <w:szCs w:val="24"/>
        </w:rPr>
        <w:t>зобов’язується</w:t>
      </w:r>
      <w:r>
        <w:rPr>
          <w:color w:val="000000"/>
          <w:sz w:val="24"/>
          <w:szCs w:val="24"/>
        </w:rPr>
        <w:t>:</w:t>
      </w:r>
    </w:p>
    <w:p>
      <w:pPr>
        <w:pStyle w:val="P8"/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подавати,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після завершення стадії підготовки до медіації/стаді</w:t>
      </w:r>
      <w:r>
        <w:rPr>
          <w:sz w:val="24"/>
          <w:szCs w:val="24"/>
        </w:rPr>
        <w:t>ї</w:t>
      </w:r>
      <w:r>
        <w:rPr>
          <w:color w:val="000000"/>
          <w:sz w:val="24"/>
          <w:szCs w:val="24"/>
        </w:rPr>
        <w:t xml:space="preserve"> проведення процедури медіації, до Центру акт надання послуг з медіації з відповідними додатками, складен</w:t>
      </w:r>
      <w:r>
        <w:rPr>
          <w:sz w:val="24"/>
          <w:szCs w:val="24"/>
        </w:rPr>
        <w:t>ий</w:t>
      </w:r>
      <w:r>
        <w:rPr>
          <w:color w:val="000000"/>
          <w:sz w:val="24"/>
          <w:szCs w:val="24"/>
        </w:rPr>
        <w:t xml:space="preserve"> за формою, затвердженою Координаційним центром, а також </w:t>
      </w:r>
      <w:r>
        <w:rPr>
          <w:sz w:val="24"/>
          <w:szCs w:val="24"/>
        </w:rPr>
        <w:t>надавати</w:t>
      </w:r>
      <w:r>
        <w:rPr>
          <w:color w:val="000000"/>
          <w:sz w:val="24"/>
          <w:szCs w:val="24"/>
        </w:rPr>
        <w:t xml:space="preserve"> документ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>, визначен</w:t>
      </w:r>
      <w:r>
        <w:rPr>
          <w:sz w:val="24"/>
          <w:szCs w:val="24"/>
        </w:rPr>
        <w:t>і</w:t>
      </w:r>
      <w:r>
        <w:rPr>
          <w:color w:val="000000"/>
          <w:sz w:val="24"/>
          <w:szCs w:val="24"/>
        </w:rPr>
        <w:t xml:space="preserve"> пунктом 3 цього Договору, що підтверджують інформацію, наведену у додатках</w:t>
      </w:r>
      <w:r>
        <w:rPr>
          <w:sz w:val="24"/>
          <w:szCs w:val="24"/>
        </w:rPr>
        <w:t>;</w:t>
      </w:r>
    </w:p>
    <w:p>
      <w:pPr>
        <w:pStyle w:val="P8"/>
        <w:numPr>
          <w:ilvl w:val="0"/>
          <w:numId w:val="6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при наданні послуг з медіації за Дорученнями дотримуватися </w:t>
      </w:r>
      <w:r>
        <w:rPr>
          <w:sz w:val="24"/>
          <w:szCs w:val="24"/>
        </w:rPr>
        <w:t xml:space="preserve">вимог Закону України «Про медіацію», кодексу професійної етики медіатора, якого медіатор дотримується у своїй діяльності, договору про проведення медіації укладеного між медіатором і сторонами конфлікту (спору), Порядку і умов укладення договорів з медіаторами, які залучаються центрами з надання безоплатної правничої допомоги, умов цього Договору, договорів про надання послуг з медіації за Дорученням, порядку та правил проведення медіації, порядку забезпечення </w:t>
      </w:r>
      <w:r>
        <w:rPr>
          <w:sz w:val="24"/>
          <w:szCs w:val="24"/>
          <w:highlight w:val="white"/>
        </w:rPr>
        <w:t xml:space="preserve">проведення моніторингу якості надання медіаторами послуг з медіації, порядку підвищення професійного рівня медіаторів, які залучаються Центрами, </w:t>
      </w:r>
      <w:r>
        <w:rPr>
          <w:sz w:val="24"/>
          <w:szCs w:val="24"/>
        </w:rPr>
        <w:t>затверджених Координаційним центром;</w:t>
      </w:r>
    </w:p>
    <w:p>
      <w:pPr>
        <w:pStyle w:val="P8"/>
        <w:numPr>
          <w:ilvl w:val="0"/>
          <w:numId w:val="6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надавати Центру для ознайомлення кодекс професійної етики, якого медіатор дотримується у своїй діяльності;</w:t>
      </w:r>
    </w:p>
    <w:p>
      <w:pPr>
        <w:pStyle w:val="P8"/>
        <w:numPr>
          <w:ilvl w:val="0"/>
          <w:numId w:val="6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надавати послуги з медіації очно та онлайн, а в межах адміністративно-територіальної одиниці (місто, область тощо), на території якої медіатор здійснює діяльність, віддавати пріоритет надання послуг з медіації очно, та повідомляти Центр про перелік адміністративно-територіальних одиниць (місто, область тощо), які розташовані за межами району, в якому проживає медіатор або в якому зареєстроване місце діяльності медіатора, про можливість надання послуг з медіації очно;</w:t>
      </w:r>
    </w:p>
    <w:p>
      <w:pPr>
        <w:pStyle w:val="P8"/>
        <w:numPr>
          <w:ilvl w:val="0"/>
          <w:numId w:val="6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відповідати за 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не</w:t>
      </w:r>
      <w:r>
        <w:rPr>
          <w:sz w:val="24"/>
          <w:szCs w:val="24"/>
        </w:rPr>
        <w:t xml:space="preserve">належне виконання 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Д</w:t>
      </w:r>
      <w:r>
        <w:rPr>
          <w:sz w:val="24"/>
          <w:szCs w:val="24"/>
        </w:rPr>
        <w:t xml:space="preserve">оручень </w:t>
      </w:r>
      <w:r>
        <w:rPr>
          <w:sz w:val="24"/>
          <w:szCs w:val="24"/>
        </w:rPr>
        <w:t xml:space="preserve">та регулювати власне навантаження за кількістю 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Д</w:t>
      </w:r>
      <w:r>
        <w:rPr>
          <w:sz w:val="24"/>
          <w:szCs w:val="24"/>
        </w:rPr>
        <w:t>оручень з урахуванням навантаження за власними справами;</w:t>
      </w:r>
    </w:p>
    <w:p>
      <w:pPr>
        <w:pStyle w:val="P8"/>
        <w:numPr>
          <w:ilvl w:val="0"/>
          <w:numId w:val="6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повідомляти Центр про неможливість взяття на виконання нових 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Д</w:t>
      </w:r>
      <w:r>
        <w:rPr>
          <w:sz w:val="24"/>
          <w:szCs w:val="24"/>
        </w:rPr>
        <w:t>оручень</w:t>
      </w:r>
      <w:r>
        <w:rPr>
          <w:sz w:val="24"/>
          <w:szCs w:val="24"/>
        </w:rPr>
        <w:t xml:space="preserve"> у разі надмірного завантаження, що може впливати на якість надання ним послуг з медіації за 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Д</w:t>
      </w:r>
      <w:r>
        <w:rPr>
          <w:sz w:val="24"/>
          <w:szCs w:val="24"/>
        </w:rPr>
        <w:t>орученнями;</w:t>
      </w:r>
    </w:p>
    <w:p>
      <w:pPr>
        <w:pStyle w:val="P8"/>
        <w:numPr>
          <w:ilvl w:val="0"/>
          <w:numId w:val="6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повідомляти Центр про зміну своєї адреси проживання, місця здійснення діяльності медіатора, засобів зв’язку (номера телефону, адреси електронної пошти);</w:t>
      </w:r>
    </w:p>
    <w:p>
      <w:pPr>
        <w:pStyle w:val="P8"/>
        <w:numPr>
          <w:ilvl w:val="0"/>
          <w:numId w:val="6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надавати, за запитом Центру актуальну інформацію про стан виконання 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Д</w:t>
      </w:r>
      <w:r>
        <w:rPr>
          <w:sz w:val="24"/>
          <w:szCs w:val="24"/>
        </w:rPr>
        <w:t>оручення та надання послуг з медіації.</w:t>
      </w:r>
    </w:p>
    <w:p>
      <w:pPr>
        <w:jc w:val="both"/>
        <w:rPr>
          <w:color w:val="00000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  <w:sz w:val="24"/>
          <w:szCs w:val="24"/>
        </w:rPr>
      </w:pPr>
      <w:r>
        <w:rPr>
          <w:b w:val="1"/>
          <w:color w:val="000000"/>
          <w:sz w:val="24"/>
          <w:szCs w:val="24"/>
        </w:rPr>
        <w:t>Права сторін</w:t>
      </w:r>
    </w:p>
    <w:p>
      <w:pPr>
        <w:pStyle w:val="P8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 має право:</w:t>
      </w:r>
    </w:p>
    <w:p>
      <w:pPr>
        <w:pStyle w:val="P8"/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повернути поданий </w:t>
      </w:r>
      <w:r>
        <w:rPr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едіатором акт надання послуг з медіації з відповідними додатками у випадку їх </w:t>
      </w:r>
      <w:r>
        <w:rPr>
          <w:sz w:val="24"/>
          <w:szCs w:val="24"/>
        </w:rPr>
        <w:t>невідповідності</w:t>
      </w:r>
      <w:r>
        <w:rPr>
          <w:color w:val="000000"/>
          <w:sz w:val="24"/>
          <w:szCs w:val="24"/>
        </w:rPr>
        <w:t xml:space="preserve"> встановленим вимогам</w:t>
      </w:r>
      <w:r>
        <w:rPr>
          <w:sz w:val="24"/>
          <w:szCs w:val="24"/>
        </w:rPr>
        <w:t>;</w:t>
      </w:r>
    </w:p>
    <w:p>
      <w:pPr>
        <w:pStyle w:val="P8"/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запитувати в медіатора інформацію про надання послуг з медіації за Дорученням, зокрема з метою моніторингу стану та якості надання таких послуг;</w:t>
      </w:r>
    </w:p>
    <w:p>
      <w:pPr>
        <w:pStyle w:val="P8"/>
        <w:numPr>
          <w:ilvl w:val="0"/>
          <w:numId w:val="11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розірвати Договір та припинити видачу Доручень медіатору у разі надходження обґрунтованих скарг щодо якості надання медіатором послуг з медіації за Дорученням;</w:t>
      </w:r>
    </w:p>
    <w:p>
      <w:pPr>
        <w:pStyle w:val="P8"/>
        <w:numPr>
          <w:ilvl w:val="0"/>
          <w:numId w:val="11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відмовити в укладенні нових договорів про співпрацю та надання послуг з медіації;</w:t>
      </w:r>
    </w:p>
    <w:p>
      <w:pPr>
        <w:pStyle w:val="P8"/>
        <w:numPr>
          <w:ilvl w:val="0"/>
          <w:numId w:val="11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видавати медіатору нові Доручення якщо медіатор не виконує умов цього Договору та порушує зобов'язання, визначені цим Договором, зокрема в частині надання належних послуг, дотримання порядку звітування за 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Д</w:t>
      </w:r>
      <w:r>
        <w:rPr>
          <w:sz w:val="24"/>
          <w:szCs w:val="24"/>
        </w:rPr>
        <w:t>орученнями, дотримання інших вимог, визначених нормативно-правовими актами чи організаційно-розпорядчими актами Координаційного центру, які стосуються забезпечення надання послуг з медіації та їх оплати;</w:t>
      </w:r>
    </w:p>
    <w:p>
      <w:pPr>
        <w:pStyle w:val="P8"/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інші права, встановлені законом</w:t>
      </w:r>
      <w:r>
        <w:rPr>
          <w:sz w:val="24"/>
          <w:szCs w:val="24"/>
        </w:rPr>
        <w:t>, цим Договором та договорами про надання послуг з медіації за Дорученням.</w:t>
      </w:r>
    </w:p>
    <w:p>
      <w:pPr>
        <w:pStyle w:val="P8"/>
        <w:numPr>
          <w:ilvl w:val="0"/>
          <w:numId w:val="11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звертатися до Координаційного центру щодо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виключення медіатора з Реєстру у разі невиконання або неналежного виконання умов Договору/Доручення</w:t>
      </w:r>
      <w:r>
        <w:rPr>
          <w:sz w:val="24"/>
          <w:szCs w:val="24"/>
          <w:lang w:val="uk-UA"/>
        </w:rPr>
        <w:t>,</w:t>
      </w:r>
      <w:r>
        <w:rPr>
          <w:sz w:val="24"/>
          <w:szCs w:val="24"/>
        </w:rPr>
        <w:t xml:space="preserve"> за неналежне виконання медіатором своїх зобов’язань за умовами договору про надання послуг з медіації, укладеного з Центром, та/або якщо Центру стало відомо про судимість медіатора чи обмеження його цивільної дієздатності або визнання його недієздатним.</w:t>
      </w:r>
    </w:p>
    <w:p>
      <w:pPr>
        <w:pStyle w:val="P8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Медіатор</w:t>
      </w:r>
      <w:r>
        <w:rPr>
          <w:color w:val="000000"/>
          <w:sz w:val="24"/>
          <w:szCs w:val="24"/>
        </w:rPr>
        <w:t xml:space="preserve"> має право:</w:t>
      </w:r>
    </w:p>
    <w:p>
      <w:pPr>
        <w:pStyle w:val="P8"/>
        <w:numPr>
          <w:ilvl w:val="1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оплату винагороди за надання послуг з медіації;</w:t>
      </w:r>
    </w:p>
    <w:p>
      <w:pPr>
        <w:pStyle w:val="P8"/>
        <w:numPr>
          <w:ilvl w:val="1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повідомляти Центр про неможливість взяття на виконання нових доручень у зв’язку з надмірним навантаженням, що може впливати на якість надання послуг з медіації за Дорученнями;</w:t>
      </w:r>
    </w:p>
    <w:p>
      <w:pPr>
        <w:pStyle w:val="P8"/>
        <w:numPr>
          <w:ilvl w:val="1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користуватися приміщеннями Центру для надання послуг з медіації за Дорученням (за наявності відповідних умов, що забезпечують конфіденційність);</w:t>
      </w:r>
    </w:p>
    <w:p>
      <w:pPr>
        <w:pStyle w:val="P8"/>
        <w:numPr>
          <w:ilvl w:val="1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має інші права, встановлені законом, цим Договором та договором про надання послуг з медіації за Дорученням.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4"/>
          <w:szCs w:val="24"/>
        </w:rPr>
      </w:pPr>
    </w:p>
    <w:p>
      <w:pPr>
        <w:keepNext w:val="1"/>
        <w:keepLines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color w:val="000000"/>
          <w:sz w:val="24"/>
          <w:szCs w:val="24"/>
        </w:rPr>
      </w:pPr>
      <w:r>
        <w:rPr>
          <w:b w:val="1"/>
          <w:color w:val="000000"/>
          <w:sz w:val="24"/>
          <w:szCs w:val="24"/>
        </w:rPr>
        <w:t>Відповідальність сторін</w:t>
      </w:r>
    </w:p>
    <w:p>
      <w:pPr>
        <w:keepNext w:val="1"/>
        <w:keepLines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color w:val="000000"/>
          <w:sz w:val="24"/>
          <w:szCs w:val="24"/>
        </w:rPr>
      </w:pPr>
    </w:p>
    <w:p>
      <w:pPr>
        <w:pStyle w:val="P8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Центр несе відповідальність за неправомірну відмову, ухилення від оплати послуг Медіатора за надання ним послуг з медіації.</w:t>
      </w:r>
    </w:p>
    <w:p>
      <w:pPr>
        <w:pStyle w:val="P8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Медіатор несе відповідальність за достовірність поданої до Центру інформації, у тому числі тієї, що міститься в акті надання послуг з медіації, розрахунках та додатках до </w:t>
      </w:r>
      <w:r>
        <w:rPr>
          <w:sz w:val="24"/>
          <w:szCs w:val="24"/>
          <w:lang w:val="uk-UA"/>
        </w:rPr>
        <w:t>нього</w:t>
      </w:r>
      <w:r>
        <w:rPr>
          <w:sz w:val="24"/>
          <w:szCs w:val="24"/>
        </w:rPr>
        <w:t>, інших документах передбаченої звітності</w:t>
      </w:r>
      <w:r>
        <w:rPr>
          <w:color w:val="000000"/>
          <w:sz w:val="24"/>
          <w:szCs w:val="24"/>
        </w:rPr>
        <w:t>, що є підставою для оплати послуг Медіатора.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center"/>
        <w:rPr>
          <w:b w:val="1"/>
          <w:sz w:val="24"/>
          <w:szCs w:val="24"/>
        </w:rPr>
      </w:pPr>
      <w:r>
        <w:rPr>
          <w:b w:val="1"/>
          <w:sz w:val="24"/>
          <w:szCs w:val="24"/>
        </w:rPr>
        <w:t>Припинення дії договору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center"/>
        <w:rPr>
          <w:b w:val="1"/>
          <w:sz w:val="24"/>
          <w:szCs w:val="24"/>
        </w:rPr>
      </w:pPr>
    </w:p>
    <w:p>
      <w:pPr>
        <w:pStyle w:val="P8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Дія договору припиняється: </w:t>
      </w:r>
    </w:p>
    <w:p>
      <w:pPr>
        <w:pStyle w:val="P8"/>
        <w:numPr>
          <w:ilvl w:val="1"/>
          <w:numId w:val="1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у разі закінчення строку його дії;</w:t>
      </w:r>
    </w:p>
    <w:p>
      <w:pPr>
        <w:pStyle w:val="P8"/>
        <w:numPr>
          <w:ilvl w:val="1"/>
          <w:numId w:val="1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за згодою сторін;</w:t>
      </w:r>
    </w:p>
    <w:p>
      <w:pPr>
        <w:pStyle w:val="P8"/>
        <w:numPr>
          <w:ilvl w:val="1"/>
          <w:numId w:val="1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за ініціативою однієї із сторін до закінчення строку його дії в разі порушення іншою стороною умов договору;</w:t>
      </w:r>
    </w:p>
    <w:p>
      <w:pPr>
        <w:pStyle w:val="P8"/>
        <w:numPr>
          <w:ilvl w:val="1"/>
          <w:numId w:val="1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за ініціативою Центру у разі порушення медіатором умов цього Договору та договорів про надання послуг з медіації, зокрема в частині невиконання Доручення, неналежного надання послуг з медіації, в інших випадках, передбачених нормативно правовими актами та організаційно-розпорядчими актами Координаційного центру з питань забезпечення проведення медіації;</w:t>
      </w:r>
    </w:p>
    <w:p>
      <w:pPr>
        <w:pStyle w:val="P8"/>
        <w:numPr>
          <w:ilvl w:val="1"/>
          <w:numId w:val="1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в інших випадках, передбачених законом.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000000"/>
        </w:rPr>
      </w:pPr>
    </w:p>
    <w:p>
      <w:pPr>
        <w:keepNext w:val="1"/>
        <w:keepLines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sz w:val="24"/>
          <w:szCs w:val="24"/>
        </w:rPr>
      </w:pPr>
      <w:r>
        <w:rPr>
          <w:b w:val="1"/>
          <w:color w:val="000000"/>
          <w:sz w:val="24"/>
          <w:szCs w:val="24"/>
        </w:rPr>
        <w:t>Інші положення</w:t>
      </w:r>
    </w:p>
    <w:p>
      <w:pPr>
        <w:keepNext w:val="1"/>
        <w:keepLines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rPr>
          <w:b w:val="1"/>
          <w:sz w:val="24"/>
          <w:szCs w:val="24"/>
        </w:rPr>
      </w:pPr>
    </w:p>
    <w:p>
      <w:pPr>
        <w:pStyle w:val="P8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Договір укладається в письмовій формі українською мовою у двох примірниках, які зберігаються у </w:t>
      </w:r>
      <w:r>
        <w:rPr>
          <w:sz w:val="24"/>
          <w:szCs w:val="24"/>
        </w:rPr>
        <w:t>кожної</w:t>
      </w:r>
      <w:r>
        <w:rPr>
          <w:color w:val="000000"/>
          <w:sz w:val="24"/>
          <w:szCs w:val="24"/>
        </w:rPr>
        <w:t xml:space="preserve"> із </w:t>
      </w:r>
      <w:r>
        <w:rPr>
          <w:color w:val="000000"/>
          <w:sz w:val="24"/>
          <w:szCs w:val="24"/>
          <w:lang w:val="uk-UA"/>
        </w:rPr>
        <w:t>С</w:t>
      </w:r>
      <w:r>
        <w:rPr>
          <w:color w:val="000000"/>
          <w:sz w:val="24"/>
          <w:szCs w:val="24"/>
        </w:rPr>
        <w:t>торін і мають однакову юридичну силу по одному для кожної зі Сторін.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  <w:sz w:val="24"/>
          <w:szCs w:val="24"/>
        </w:rPr>
      </w:pPr>
      <w:r>
        <w:rPr>
          <w:b w:val="1"/>
          <w:color w:val="000000"/>
          <w:sz w:val="24"/>
          <w:szCs w:val="24"/>
        </w:rPr>
        <w:t>Реквізити сторін</w:t>
      </w:r>
    </w:p>
    <w:tbl>
      <w:tblPr>
        <w:tblStyle w:val="T4"/>
        <w:tblW w:w="9996" w:type="dxa"/>
        <w:tblInd w:w="-108" w:type="dxa"/>
        <w:tblLayout w:type="fixed"/>
        <w:tblLook w:val="0000"/>
      </w:tblPr>
      <w:tblGrid/>
      <w:tr>
        <w:trPr>
          <w:trHeight w:hRule="atLeast" w:val="639"/>
        </w:trPr>
        <w:tc>
          <w:tcPr>
            <w:tcW w:w="4786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b w:val="1"/>
                <w:color w:val="000000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b w:val="1"/>
                <w:color w:val="000000"/>
                <w:sz w:val="2"/>
                <w:szCs w:val="2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(найменування центру з надання безоплатної правничої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допомоги)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16"/>
                <w:szCs w:val="16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(адреса місцезнаходження: Україна, індекс, населений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пункт, вулиця, номер будинку, номер офісу (за наявності).</w:t>
            </w:r>
          </w:p>
        </w:tc>
        <w:tc>
          <w:tcPr>
            <w:tcW w:w="5210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rPr>
                <w:b w:val="1"/>
                <w:sz w:val="24"/>
                <w:szCs w:val="24"/>
              </w:rPr>
            </w:pPr>
            <w:r>
              <w:rPr>
                <w:b w:val="1"/>
                <w:sz w:val="24"/>
                <w:szCs w:val="24"/>
              </w:rPr>
              <w:t xml:space="preserve">Медіатор: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single" w:sz="12" w:space="1" w:shadow="0" w:frame="0" w:color="000000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rPr>
                <w:b w:val="1"/>
                <w:sz w:val="24"/>
                <w:szCs w:val="24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single" w:sz="12" w:space="1" w:shadow="0" w:frame="0" w:color="000000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rPr>
                <w:sz w:val="24"/>
                <w:szCs w:val="24"/>
              </w:rPr>
            </w:pPr>
          </w:p>
          <w:p>
            <w:pPr>
              <w:pBdr>
                <w:top w:val="none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(прізвище, власне ім1я, по батькові (за наявності)</w:t>
            </w:r>
          </w:p>
        </w:tc>
      </w:tr>
      <w:tr>
        <w:trPr>
          <w:trHeight w:hRule="atLeast" w:val="951"/>
        </w:trPr>
        <w:tc>
          <w:tcPr>
            <w:tcW w:w="478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ЄДРПОУ _____________________                                                       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Р/р IBAN UA 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Державній казначейській службі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України, м. Київ                                                </w:t>
            </w:r>
          </w:p>
        </w:tc>
        <w:tc>
          <w:tcPr>
            <w:tcW w:w="521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РНОКПП</w:t>
            </w:r>
            <w:r>
              <w:rPr>
                <w:sz w:val="24"/>
                <w:szCs w:val="24"/>
              </w:rPr>
              <w:t xml:space="preserve"> _____________,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single" w:sz="12" w:space="1" w:shadow="0" w:frame="0" w:color="000000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sz w:val="24"/>
                <w:szCs w:val="24"/>
              </w:rPr>
            </w:pPr>
          </w:p>
          <w:p>
            <w:pPr>
              <w:pBdr>
                <w:top w:val="none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(адреса проживання: Україна, індекс, населений пункт, вулиця, номер будинку, номер, квартири)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Р/р IBAN UA __________________________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____________________________________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(найменування банківської установи)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sz w:val="24"/>
                <w:szCs w:val="24"/>
              </w:rPr>
            </w:pPr>
          </w:p>
        </w:tc>
      </w:tr>
      <w:tr>
        <w:trPr>
          <w:trHeight w:hRule="atLeast" w:val="553"/>
        </w:trPr>
        <w:tc>
          <w:tcPr>
            <w:tcW w:w="478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tabs>
                <w:tab w:val="left" w:pos="4897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Директор/уповноважена особа </w:t>
            </w: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tabs>
                <w:tab w:val="left" w:pos="4897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(прізвище, ініціали)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tabs>
                <w:tab w:val="left" w:pos="4897" w:leader="none"/>
              </w:tabs>
              <w:rPr>
                <w:b w:val="1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tabs>
                <w:tab w:val="left" w:pos="4897" w:leader="none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(підпис / кваліфікований електронний підпис)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М.П.                   </w:t>
            </w:r>
          </w:p>
        </w:tc>
        <w:tc>
          <w:tcPr>
            <w:tcW w:w="521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b w:val="1"/>
                <w:sz w:val="24"/>
                <w:szCs w:val="24"/>
              </w:rPr>
            </w:pPr>
            <w:r>
              <w:rPr>
                <w:b w:val="1"/>
                <w:sz w:val="24"/>
                <w:szCs w:val="24"/>
              </w:rPr>
              <w:t xml:space="preserve">Медіатор </w:t>
            </w:r>
            <w:r>
              <w:rPr>
                <w:sz w:val="24"/>
                <w:szCs w:val="24"/>
              </w:rPr>
              <w:t xml:space="preserve">_____________________________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(прізвище, ініціали)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tabs>
                <w:tab w:val="left" w:pos="4897" w:leader="none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______________________________________           </w:t>
            </w:r>
            <w:r>
              <w:rPr>
                <w:color w:val="000000"/>
                <w:sz w:val="16"/>
                <w:szCs w:val="16"/>
              </w:rPr>
              <w:t>(підпис / кваліфікований електронний підпис)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М.П.  (за наявності)                 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rPr>
          <w:sz w:val="16"/>
          <w:szCs w:val="1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rPr>
          <w:sz w:val="16"/>
          <w:szCs w:val="16"/>
        </w:rPr>
      </w:pPr>
    </w:p>
    <w:p>
      <w:pPr>
        <w:jc w:val="both"/>
        <w:rPr>
          <w:color w:val="FF0000"/>
          <w:sz w:val="28"/>
          <w:szCs w:val="28"/>
          <w:highlight w:val="white"/>
        </w:rPr>
      </w:pPr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footnotePr/>
      <w:endnotePr/>
      <w:type w:val="nextPage"/>
      <w:pgSz w:w="11906" w:h="16838" w:code="0"/>
      <w:pgMar w:left="1701" w:right="567" w:top="567" w:bottom="542" w:header="567" w:footer="567" w:gutter="0"/>
      <w:pgNumType w:start="1" w:chapSep="period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  <w:footnote w:id="1">
    <w:p>
      <w:pPr>
        <w:pStyle w:val="P14"/>
        <w:rPr>
          <w:lang w:val="uk-UA"/>
        </w:rPr>
      </w:pPr>
      <w:r>
        <w:rPr>
          <w:rStyle w:val="C6"/>
        </w:rPr>
        <w:footnoteRef/>
      </w:r>
      <w:r>
        <w:t xml:space="preserve"> </w:t>
      </w:r>
      <w:r>
        <w:rPr>
          <w:sz w:val="16"/>
          <w:szCs w:val="16"/>
        </w:rPr>
        <w:t>Крім фізичних осіб</w:t>
      </w:r>
      <w:r>
        <w:rPr>
          <w:sz w:val="16"/>
          <w:szCs w:val="16"/>
        </w:rPr>
        <w:t>,</w:t>
      </w:r>
      <w:r>
        <w:rPr>
          <w:sz w:val="16"/>
          <w:szCs w:val="16"/>
        </w:rPr>
        <w:t xml:space="preserve">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153" w:leader="none"/>
        <w:tab w:val="right" w:pos="8306" w:leader="none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>
      <w:rPr>
        <w:color w:val="000000"/>
        <w:sz w:val="22"/>
        <w:szCs w:val="22"/>
      </w:rPr>
      <w:t>#</w:t>
    </w:r>
    <w:r>
      <w:rPr>
        <w:color w:val="000000"/>
        <w:sz w:val="22"/>
        <w:szCs w:val="22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153" w:leader="none"/>
        <w:tab w:val="right" w:pos="8306" w:leader="none"/>
      </w:tabs>
      <w:rPr>
        <w:rFonts w:ascii="Antiqua" w:hAnsi="Antiqua"/>
        <w:color w:val="000000"/>
        <w:sz w:val="26"/>
        <w:szCs w:val="26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jc w:val="center"/>
      <w:rPr>
        <w:rFonts w:ascii="Antiqua" w:hAnsi="Antiqua"/>
        <w:color w:val="000000"/>
        <w:sz w:val="26"/>
        <w:szCs w:val="26"/>
      </w:rPr>
    </w:pPr>
    <w:r>
      <w:rPr>
        <w:rFonts w:ascii="Antiqua" w:hAnsi="Antiqua"/>
        <w:color w:val="000000"/>
        <w:sz w:val="26"/>
        <w:szCs w:val="26"/>
      </w:rPr>
      <w:fldChar w:fldCharType="begin"/>
    </w:r>
    <w:r>
      <w:rPr>
        <w:rFonts w:ascii="Antiqua" w:hAnsi="Antiqua"/>
        <w:color w:val="000000"/>
        <w:sz w:val="26"/>
        <w:szCs w:val="26"/>
      </w:rPr>
      <w:instrText>PAGE</w:instrText>
    </w:r>
    <w:r>
      <w:rPr>
        <w:rFonts w:ascii="Antiqua" w:hAnsi="Antiqua"/>
        <w:color w:val="000000"/>
        <w:sz w:val="26"/>
        <w:szCs w:val="26"/>
      </w:rPr>
      <w:fldChar w:fldCharType="separate"/>
    </w:r>
    <w:r>
      <w:rPr>
        <w:rFonts w:ascii="Antiqua" w:hAnsi="Antiqua"/>
        <w:color w:val="000000"/>
        <w:sz w:val="26"/>
        <w:szCs w:val="26"/>
      </w:rPr>
      <w:t>#</w:t>
    </w:r>
    <w:r>
      <w:rPr>
        <w:rFonts w:ascii="Antiqua" w:hAnsi="Antiqua"/>
        <w:color w:val="000000"/>
        <w:sz w:val="26"/>
        <w:szCs w:val="26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rPr>
        <w:rFonts w:ascii="Antiqua" w:hAnsi="Antiqua"/>
        <w:color w:val="000000"/>
        <w:sz w:val="26"/>
        <w:szCs w:val="26"/>
      </w:rPr>
    </w:pPr>
  </w:p>
</w:hdr>
</file>

<file path=word/numbering.xml><?xml version="1.0" encoding="utf-8"?>
<w:numbering xmlns:w="http://schemas.openxmlformats.org/wordprocessingml/2006/main">
  <w:abstractNum w:abstractNumId="0">
    <w:nsid w:val="082051AB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1">
    <w:nsid w:val="099E212E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2">
    <w:nsid w:val="0A905E5C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3">
    <w:nsid w:val="0DD31B00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4">
    <w:nsid w:val="0F4D345F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5">
    <w:nsid w:val="12EB7FBB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6">
    <w:nsid w:val="34956EF4"/>
    <w:multiLevelType w:val="hybridMultilevel"/>
    <w:lvl w:ilvl="0" w:tplc="C64AB214">
      <w:start w:val="1"/>
      <w:numFmt w:val="decimal"/>
      <w:suff w:val="tab"/>
      <w:lvlText w:val="%1)"/>
      <w:lvlJc w:val="left"/>
      <w:pPr>
        <w:ind w:hanging="405" w:left="972"/>
      </w:pPr>
      <w:rPr>
        <w:color w:val="000000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7">
    <w:nsid w:val="3E56217B"/>
    <w:multiLevelType w:val="hybridMultilevel"/>
    <w:lvl w:ilvl="0" w:tplc="75884142">
      <w:start w:val="1"/>
      <w:numFmt w:val="decimal"/>
      <w:suff w:val="tab"/>
      <w:lvlText w:val="%1)"/>
      <w:lvlJc w:val="left"/>
      <w:pPr>
        <w:ind w:hanging="360" w:left="92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8">
    <w:nsid w:val="43320DA8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1">
      <w:start w:val="1"/>
      <w:numFmt w:val="decimal"/>
      <w:suff w:val="tab"/>
      <w:lvlText w:val="%2)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9">
    <w:nsid w:val="441D4B76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1">
      <w:start w:val="1"/>
      <w:numFmt w:val="decimal"/>
      <w:suff w:val="tab"/>
      <w:lvlText w:val="%2)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10">
    <w:nsid w:val="4AFC6A92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1287"/>
      </w:pPr>
      <w:rPr/>
    </w:lvl>
    <w:lvl w:ilvl="1" w:tplc="3030F958">
      <w:start w:val="1"/>
      <w:numFmt w:val="decimal"/>
      <w:suff w:val="tab"/>
      <w:lvlText w:val="%2)"/>
      <w:lvlJc w:val="left"/>
      <w:pPr>
        <w:ind w:hanging="360" w:left="2007"/>
      </w:pPr>
      <w:rPr>
        <w:color w:val="000000"/>
      </w:rPr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11">
    <w:nsid w:val="4ED20B80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12">
    <w:nsid w:val="5FDC4F4B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13">
    <w:nsid w:val="6C0728DD"/>
    <w:multiLevelType w:val="hybridMultilevel"/>
    <w:lvl w:ilvl="0" w:tplc="E12AAE86">
      <w:start w:val="1"/>
      <w:numFmt w:val="decimal"/>
      <w:suff w:val="tab"/>
      <w:lvlText w:val="%1."/>
      <w:lvlJc w:val="left"/>
      <w:pPr>
        <w:ind w:hanging="360" w:left="92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14">
    <w:nsid w:val="771E1459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6"/>
  </w:num>
  <w:num w:numId="8">
    <w:abstractNumId w:val="4"/>
  </w:num>
  <w:num w:numId="9">
    <w:abstractNumId w:val="12"/>
  </w:num>
  <w:num w:numId="10">
    <w:abstractNumId w:val="14"/>
  </w:num>
  <w:num w:numId="11">
    <w:abstractNumId w:val="0"/>
  </w:num>
  <w:num w:numId="12">
    <w:abstractNumId w:val="3"/>
  </w:num>
  <w:num w:numId="13">
    <w:abstractNumId w:val="8"/>
  </w:num>
  <w:num w:numId="14">
    <w:abstractNumId w:val="5"/>
  </w:num>
  <w:num w:numId="15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0"/>
        <w:szCs w:val="22"/>
        <w:lang w:val="uk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  <w:outlineLvl w:val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  <w:sz w:val="22"/>
      <w:szCs w:val="22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List Paragraph"/>
    <w:qFormat/>
    <w:pPr>
      <w:ind w:left="720"/>
      <w:contextualSpacing w:val="1"/>
    </w:pPr>
    <w:rPr/>
  </w:style>
  <w:style w:type="paragraph" w:styleId="P9">
    <w:name w:val="rvps2"/>
    <w:pPr>
      <w:spacing w:before="100" w:after="100" w:beforeAutospacing="1" w:afterAutospacing="1"/>
    </w:pPr>
    <w:rPr>
      <w:sz w:val="24"/>
      <w:szCs w:val="24"/>
      <w:lang w:eastAsia="ru-RU"/>
    </w:rPr>
  </w:style>
  <w:style w:type="paragraph" w:styleId="P10">
    <w:name w:val="Абзац списка1"/>
    <w:pPr>
      <w:suppressAutoHyphens w:val="1"/>
      <w:ind w:firstLine="566" w:left="318"/>
      <w:jc w:val="both"/>
    </w:pPr>
    <w:rPr>
      <w:sz w:val="24"/>
      <w:szCs w:val="24"/>
      <w:kern w:val="2"/>
      <w:lang w:eastAsia="zh-CN"/>
    </w:rPr>
  </w:style>
  <w:style w:type="paragraph" w:styleId="P11">
    <w:name w:val="footer"/>
    <w:link w:val="C4"/>
    <w:pPr>
      <w:tabs>
        <w:tab w:val="center" w:pos="4513" w:leader="none"/>
        <w:tab w:val="right" w:pos="9026" w:leader="none"/>
      </w:tabs>
    </w:pPr>
    <w:rPr/>
  </w:style>
  <w:style w:type="paragraph" w:styleId="P12">
    <w:name w:val="header"/>
    <w:link w:val="C5"/>
    <w:pPr>
      <w:tabs>
        <w:tab w:val="center" w:pos="4513" w:leader="none"/>
        <w:tab w:val="right" w:pos="9026" w:leader="none"/>
      </w:tabs>
    </w:pPr>
    <w:rPr/>
  </w:style>
  <w:style w:type="paragraph" w:styleId="P13">
    <w:name w:val="Subtitle"/>
    <w:basedOn w:val="P0"/>
    <w:next w:val="P0"/>
    <w:qFormat/>
    <w:pPr>
      <w:keepNext w:val="1"/>
      <w:keepLines w:val="1"/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paragraph" w:styleId="P14">
    <w:name w:val="footnote text"/>
    <w:basedOn w:val="P0"/>
    <w:link w:val="C7"/>
    <w:semiHidden/>
    <w:pPr/>
    <w:rPr/>
  </w:style>
  <w:style w:type="paragraph" w:styleId="P15">
    <w:name w:val="endnote text"/>
    <w:link w:val="C10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apple-converted-space"/>
    <w:basedOn w:val="C0"/>
    <w:rPr/>
  </w:style>
  <w:style w:type="character" w:styleId="C4">
    <w:name w:val="Нижній колонтитул Знак"/>
    <w:basedOn w:val="C0"/>
    <w:link w:val="P11"/>
    <w:rPr/>
  </w:style>
  <w:style w:type="character" w:styleId="C5">
    <w:name w:val="Верхній колонтитул Знак"/>
    <w:basedOn w:val="C0"/>
    <w:link w:val="P12"/>
    <w:rPr/>
  </w:style>
  <w:style w:type="character" w:styleId="C6">
    <w:name w:val="footnote reference"/>
    <w:semiHidden/>
    <w:rPr>
      <w:vertAlign w:val="superscript"/>
    </w:rPr>
  </w:style>
  <w:style w:type="character" w:styleId="C7">
    <w:name w:val="Текст виноски Знак"/>
    <w:basedOn w:val="C0"/>
    <w:link w:val="P14"/>
    <w:semiHidden/>
    <w:rPr/>
  </w:style>
  <w:style w:type="character" w:styleId="C8">
    <w:name w:val="Footnote Text Char"/>
    <w:semiHidden/>
    <w:rPr>
      <w:sz w:val="20"/>
      <w:szCs w:val="20"/>
    </w:rPr>
  </w:style>
  <w:style w:type="character" w:styleId="C9">
    <w:name w:val="endnote reference"/>
    <w:semiHidden/>
    <w:rPr>
      <w:vertAlign w:val="superscript"/>
    </w:rPr>
  </w:style>
  <w:style w:type="character" w:styleId="C10">
    <w:name w:val="Endnote Text Char"/>
    <w:link w:val="P15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4">
    <w:name w:val=""/>
    <w:basedOn w:val="T3"/>
    <w:tblPr>
      <w:tblStyleRowBandSize w:val="1"/>
      <w:tblStyleColBandSize w:val="1"/>
      <w:tblCellMar>
        <w:left w:w="108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Relationship Id="RelItem2" Type="http://schemas.openxmlformats.org/officeDocument/2006/relationships/customXml" Target="../customXml/item2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2GPplllNvPmd9bGWNlOdHLGqWg==">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</go:docsCustomData>
</go:gDocsCustomXmlDataStorage>
</file>

<file path=customXml/itemProps1.xml><?xml version="1.0" encoding="utf-8"?>
<ds:datastoreItem xmlns:ds="http://schemas.openxmlformats.org/officeDocument/2006/customXml" ds:itemID="{ce308f7b-0d9e-40a5-a7c6-09b45f45299d}">
  <ds:schemaRefs>
    <ds:schemaRef ds:uri="http://schemas.microsoft.com/vsto/sample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Петро Балабан</dc:creator>
  <dcterms:created xsi:type="dcterms:W3CDTF">2025-06-30T18:59:00Z</dcterms:created>
  <cp:lastModifiedBy>ASKOD</cp:lastModifiedBy>
  <dcterms:modified xsi:type="dcterms:W3CDTF">2025-07-01T13:54:33Z</dcterms:modified>
  <cp:revision>3</cp:revision>
</cp:coreProperties>
</file>